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150</w:t>
      </w:r>
      <w:r>
        <w:rPr>
          <w:rFonts w:ascii="Times New Roman" w:eastAsia="Times New Roman" w:hAnsi="Times New Roman" w:cs="Times New Roman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04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8"/>
        </w:rPr>
        <w:t>Бирюковой Виктории Анатольевн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расходов по уплате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 учетом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частичном отказе от исковых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>» к Бирюковой Виктории Анатольевне о взыскании расходов по уплате государственной пошлины, почтовых расходов (с учетом заявления о частичном отказе от исковых требований)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Бирюковой Виктории Анатольевны, </w:t>
      </w:r>
      <w:r>
        <w:rPr>
          <w:rStyle w:val="cat-UserDefinedgrp-14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>» ИНН/КПП 8602016725/860201001, ОГРН 1028600592470, расходы по уплате госпошлины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(четыре тысячи) рублей 00 копеек, почтовые расходы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девяносто один)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копеек.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</w:t>
      </w:r>
      <w:r>
        <w:rPr>
          <w:rFonts w:ascii="Times New Roman" w:eastAsia="Times New Roman" w:hAnsi="Times New Roman" w:cs="Times New Roman"/>
          <w:sz w:val="28"/>
          <w:szCs w:val="28"/>
        </w:rPr>
        <w:t>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04 мая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150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04 мая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14rplc-11">
    <w:name w:val="cat-UserDefined grp-14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